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D0" w:rsidRPr="002C26D0" w:rsidRDefault="002C26D0" w:rsidP="002C26D0">
      <w:pPr>
        <w:tabs>
          <w:tab w:val="left" w:pos="0"/>
        </w:tabs>
        <w:suppressAutoHyphens/>
        <w:jc w:val="center"/>
        <w:rPr>
          <w:rFonts w:ascii="Eke" w:hAnsi="Eke" w:cs="Arial"/>
          <w:b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</w:rPr>
        <w:t>STEPHEN SUMPTION</w:t>
      </w:r>
    </w:p>
    <w:p w:rsidR="002C26D0" w:rsidRPr="002C26D0" w:rsidRDefault="002C26D0" w:rsidP="002C26D0">
      <w:pPr>
        <w:tabs>
          <w:tab w:val="left" w:pos="-720"/>
        </w:tabs>
        <w:suppressAutoHyphens/>
        <w:jc w:val="center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61 Grosvenor Road, West Wickham, Kent BR4 9PY</w:t>
      </w:r>
    </w:p>
    <w:p w:rsidR="002C26D0" w:rsidRPr="002C26D0" w:rsidRDefault="002C26D0" w:rsidP="002C26D0">
      <w:pPr>
        <w:tabs>
          <w:tab w:val="left" w:pos="-720"/>
        </w:tabs>
        <w:suppressAutoHyphens/>
        <w:jc w:val="center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Telephone:  020 8776 1050</w:t>
      </w:r>
    </w:p>
    <w:p w:rsidR="002C26D0" w:rsidRPr="002C26D0" w:rsidRDefault="002C26D0" w:rsidP="002C26D0">
      <w:pPr>
        <w:tabs>
          <w:tab w:val="left" w:pos="-720"/>
          <w:tab w:val="left" w:pos="3261"/>
        </w:tabs>
        <w:suppressAutoHyphens/>
        <w:jc w:val="center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E-mail:  stephen@sumption.co.uk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jc w:val="center"/>
        <w:rPr>
          <w:rFonts w:ascii="Eke" w:hAnsi="Eke" w:cs="Arial"/>
          <w:b/>
          <w:sz w:val="22"/>
          <w:szCs w:val="22"/>
          <w:u w:val="single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PROFILE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  <w:u w:val="single"/>
        </w:rPr>
      </w:pPr>
    </w:p>
    <w:p w:rsidR="002C26D0" w:rsidRPr="002C26D0" w:rsidRDefault="002C26D0" w:rsidP="002C26D0">
      <w:pPr>
        <w:numPr>
          <w:ilvl w:val="0"/>
          <w:numId w:val="2"/>
        </w:numPr>
        <w:tabs>
          <w:tab w:val="left" w:pos="-720"/>
        </w:tabs>
        <w:suppressAutoHyphens/>
        <w:ind w:left="426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Fluent French speaking insurance professional</w:t>
      </w:r>
    </w:p>
    <w:p w:rsidR="002C26D0" w:rsidRPr="002C26D0" w:rsidRDefault="002C26D0" w:rsidP="002C26D0">
      <w:pPr>
        <w:numPr>
          <w:ilvl w:val="0"/>
          <w:numId w:val="2"/>
        </w:numPr>
        <w:tabs>
          <w:tab w:val="left" w:pos="-720"/>
        </w:tabs>
        <w:suppressAutoHyphens/>
        <w:ind w:left="426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In-depth experience of claims management and control, new product development, client contact and relationship management</w:t>
      </w:r>
    </w:p>
    <w:p w:rsidR="002C26D0" w:rsidRPr="002C26D0" w:rsidRDefault="002C26D0" w:rsidP="002C26D0">
      <w:pPr>
        <w:numPr>
          <w:ilvl w:val="0"/>
          <w:numId w:val="2"/>
        </w:numPr>
        <w:tabs>
          <w:tab w:val="left" w:pos="-720"/>
        </w:tabs>
        <w:suppressAutoHyphens/>
        <w:ind w:left="426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 xml:space="preserve">Proven experience of training and management of personnel and leadership ability  </w:t>
      </w:r>
    </w:p>
    <w:p w:rsidR="002C26D0" w:rsidRPr="002C26D0" w:rsidRDefault="002C26D0" w:rsidP="002C26D0">
      <w:pPr>
        <w:numPr>
          <w:ilvl w:val="0"/>
          <w:numId w:val="2"/>
        </w:numPr>
        <w:tabs>
          <w:tab w:val="left" w:pos="-720"/>
        </w:tabs>
        <w:suppressAutoHyphens/>
        <w:ind w:left="426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 xml:space="preserve">Provider of independent consultancy services in the area of Professional Liability  </w:t>
      </w:r>
    </w:p>
    <w:p w:rsidR="008B6D0F" w:rsidRPr="002C26D0" w:rsidRDefault="008B6D0F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 xml:space="preserve">Range of services include: 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Assistance in the selection and appointment of Brokers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Risk Reviews relating to the Liability and Fraud for Financial Service Sector Risks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Independent assessment of claims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Assistance with claims presentation and negotiation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Review of policy wordings and assistance at renewal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Review of Error and Omissions procedures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Assessment of the effectiveness of remedial measures taken after an E&amp;O incident or claim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Review and investigation of the effect of an incident such as a fraud  with a view to assessing why the incident occurred and what to do about it</w:t>
      </w:r>
    </w:p>
    <w:p w:rsidR="002C26D0" w:rsidRPr="002C26D0" w:rsidRDefault="002C26D0" w:rsidP="002C26D0">
      <w:pPr>
        <w:numPr>
          <w:ilvl w:val="0"/>
          <w:numId w:val="1"/>
        </w:num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Interim Management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  <w:u w:val="single"/>
        </w:rPr>
      </w:pPr>
    </w:p>
    <w:p w:rsidR="002C26D0" w:rsidRPr="002C26D0" w:rsidRDefault="002C26D0" w:rsidP="002C26D0">
      <w:pPr>
        <w:pStyle w:val="Heading1"/>
        <w:rPr>
          <w:rFonts w:ascii="Eke" w:hAnsi="Eke" w:cs="Arial"/>
          <w:color w:val="auto"/>
          <w:sz w:val="22"/>
          <w:szCs w:val="22"/>
        </w:rPr>
      </w:pPr>
      <w:r w:rsidRPr="002C26D0">
        <w:rPr>
          <w:rFonts w:ascii="Eke" w:hAnsi="Eke" w:cs="Arial"/>
          <w:color w:val="auto"/>
          <w:sz w:val="22"/>
          <w:szCs w:val="22"/>
        </w:rPr>
        <w:t>CAREER HISTORY</w:t>
      </w:r>
    </w:p>
    <w:p w:rsidR="002C26D0" w:rsidRPr="002C26D0" w:rsidRDefault="002C26D0" w:rsidP="002C26D0">
      <w:pPr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2268"/>
        </w:tabs>
        <w:rPr>
          <w:rFonts w:ascii="Eke" w:hAnsi="Eke" w:cs="Arial"/>
          <w:b/>
          <w:bCs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</w:rPr>
        <w:t>1999 – Present</w:t>
      </w:r>
      <w:r w:rsidRPr="002C26D0">
        <w:rPr>
          <w:rFonts w:ascii="Eke" w:hAnsi="Eke" w:cs="Arial"/>
          <w:b/>
          <w:bCs/>
          <w:sz w:val="22"/>
          <w:szCs w:val="22"/>
        </w:rPr>
        <w:tab/>
        <w:t>STEPHEN SUMPTION CONSULTANCY</w:t>
      </w:r>
    </w:p>
    <w:p w:rsidR="002C26D0" w:rsidRPr="002C26D0" w:rsidRDefault="002C26D0" w:rsidP="002C26D0">
      <w:pPr>
        <w:tabs>
          <w:tab w:val="left" w:pos="2268"/>
        </w:tabs>
        <w:rPr>
          <w:rFonts w:ascii="Eke" w:hAnsi="Eke" w:cs="Arial"/>
          <w:b/>
          <w:bCs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</w:rPr>
        <w:t xml:space="preserve"> 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Status:</w:t>
      </w:r>
      <w:r w:rsidRPr="002C26D0">
        <w:rPr>
          <w:rFonts w:ascii="Eke" w:hAnsi="Eke" w:cs="Arial"/>
          <w:sz w:val="22"/>
          <w:szCs w:val="22"/>
        </w:rPr>
        <w:tab/>
        <w:t>Founder of a consultancy practice following approach from former clients.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Professional Liability, Special Projects, Risk Assessment.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Achievements:</w:t>
      </w:r>
      <w:r w:rsidRPr="002C26D0">
        <w:rPr>
          <w:rFonts w:ascii="Eke" w:hAnsi="Eke" w:cs="Arial"/>
          <w:sz w:val="22"/>
          <w:szCs w:val="22"/>
        </w:rPr>
        <w:tab/>
        <w:t>Acting as an expert witness and assisting in the mediation of a professional indemnity claim on behalf the estate of a sole trader Loss Adjuster.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bookmarkStart w:id="0" w:name="_GoBack"/>
      <w:bookmarkEnd w:id="0"/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b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>: Settlement obtained thereby preventing the need for the matter to go to court.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Following the successful voidance of a fire policy, assisting a litigant in person to obtain a payment through Mediation from his Broker’s Professional Indemnity Insurers.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b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>: Six figure payment obtained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  <w:t>Managing disputed professional indemnity claim arising out the Pensions Mis-selling Review for small IFA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bCs/>
          <w:sz w:val="22"/>
          <w:szCs w:val="22"/>
        </w:rPr>
        <w:t>:</w:t>
      </w:r>
      <w:r w:rsidRPr="002C26D0">
        <w:rPr>
          <w:rFonts w:ascii="Eke" w:hAnsi="Eke" w:cs="Arial"/>
          <w:sz w:val="22"/>
          <w:szCs w:val="22"/>
        </w:rPr>
        <w:t xml:space="preserve"> Underwriters settled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  <w:t xml:space="preserve">Reporting to a Scottish clearing bank on the conduct a professional indemnity claims over the previous 5 years, and current state of that claim.  Reporting on the possibilities for aggregation of a series of incidents into one claim  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bCs/>
          <w:sz w:val="22"/>
          <w:szCs w:val="22"/>
          <w:u w:val="single"/>
        </w:rPr>
        <w:t>:</w:t>
      </w:r>
      <w:r w:rsidRPr="002C26D0">
        <w:rPr>
          <w:rFonts w:ascii="Eke" w:hAnsi="Eke" w:cs="Arial"/>
          <w:sz w:val="22"/>
          <w:szCs w:val="22"/>
        </w:rPr>
        <w:t xml:space="preserve"> Report accepted by board</w:t>
      </w:r>
    </w:p>
    <w:p w:rsidR="0016504F" w:rsidRPr="002C26D0" w:rsidRDefault="0016504F">
      <w:pPr>
        <w:rPr>
          <w:rFonts w:ascii="Eke" w:hAnsi="Eke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  <w:t xml:space="preserve">Assisting Lloyd’s managing agent with quarterly compliance audit 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bCs/>
          <w:sz w:val="22"/>
          <w:szCs w:val="22"/>
          <w:u w:val="single"/>
        </w:rPr>
        <w:t>:</w:t>
      </w:r>
      <w:r w:rsidRPr="002C26D0">
        <w:rPr>
          <w:rFonts w:ascii="Eke" w:hAnsi="Eke" w:cs="Arial"/>
          <w:sz w:val="22"/>
          <w:szCs w:val="22"/>
        </w:rPr>
        <w:t xml:space="preserve"> Completed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  <w:t xml:space="preserve">Managing disputed professional indemnity claim arising out the Pensions Mis-selling Review for medium sized IFA following the liquidation of their Broker </w:t>
      </w:r>
    </w:p>
    <w:p w:rsidR="002C26D0" w:rsidRPr="002C26D0" w:rsidRDefault="002C26D0" w:rsidP="008B6D0F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bCs/>
          <w:sz w:val="22"/>
          <w:szCs w:val="22"/>
        </w:rPr>
        <w:t>:</w:t>
      </w:r>
      <w:r w:rsidRPr="002C26D0">
        <w:rPr>
          <w:rFonts w:ascii="Eke" w:hAnsi="Eke" w:cs="Arial"/>
          <w:sz w:val="22"/>
          <w:szCs w:val="22"/>
        </w:rPr>
        <w:t xml:space="preserve"> Settlement negotiations completed, recovery in excess of £250,000</w:t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</w:r>
    </w:p>
    <w:p w:rsidR="002C26D0" w:rsidRPr="002C26D0" w:rsidRDefault="002C26D0" w:rsidP="002C26D0">
      <w:pPr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  <w:t xml:space="preserve">Providing interim management services following the summary departure of the Managing Director of the Professional Indemnity Division  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bCs/>
          <w:sz w:val="22"/>
          <w:szCs w:val="22"/>
          <w:u w:val="single"/>
        </w:rPr>
        <w:t>:</w:t>
      </w:r>
      <w:r w:rsidRPr="002C26D0">
        <w:rPr>
          <w:rFonts w:ascii="Eke" w:hAnsi="Eke" w:cs="Arial"/>
          <w:sz w:val="22"/>
          <w:szCs w:val="22"/>
        </w:rPr>
        <w:t xml:space="preserve"> Completed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Assisting insurance broking firm with disputed claims and with the management of their own professional Indemnity notifications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>: Completed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Assisting IFA Network in recovering from Professional Indemnity Insurers in respect of the Pensions Mis-selling Review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 xml:space="preserve">: Two Reports prepared for the board, and client’s own internal compliance team are now successfully managing the previously declined claims 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  <w:u w:val="single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Assisting a major international Bank by successfully negotiating the commutation of old year claims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>: Completed Recovery of ChF9,000,000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 xml:space="preserve">Assisting an IFA Network with the renewal of their Professional Indemnity including preparation of renewal presentations and selection of Brokers 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</w:rPr>
        <w:t>: Completed but retained for future Professional Indemnity problems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Investigating the cause and advising on the appropriate remedial solutions following a minor fraud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  <w:u w:val="single"/>
        </w:rPr>
        <w:t>:</w:t>
      </w:r>
      <w:r w:rsidRPr="002C26D0">
        <w:rPr>
          <w:rFonts w:ascii="Eke" w:hAnsi="Eke" w:cs="Arial"/>
          <w:sz w:val="22"/>
          <w:szCs w:val="22"/>
        </w:rPr>
        <w:t xml:space="preserve">  Completed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ind w:left="2268" w:right="-7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Co-Authoring “A Guide to Professional Indemnity Policy Wordings” (Provisional Title) which will form part of the upcoming BIBA Professional Indemnity Initiative</w:t>
      </w:r>
    </w:p>
    <w:p w:rsidR="002C26D0" w:rsidRPr="002C26D0" w:rsidRDefault="002C26D0" w:rsidP="002C26D0">
      <w:pPr>
        <w:ind w:left="2268" w:right="-7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Current Status</w:t>
      </w:r>
      <w:r w:rsidRPr="002C26D0">
        <w:rPr>
          <w:rFonts w:ascii="Eke" w:hAnsi="Eke" w:cs="Arial"/>
          <w:sz w:val="22"/>
          <w:szCs w:val="22"/>
          <w:u w:val="single"/>
        </w:rPr>
        <w:t>:</w:t>
      </w:r>
      <w:r w:rsidRPr="002C26D0">
        <w:rPr>
          <w:rFonts w:ascii="Eke" w:hAnsi="Eke" w:cs="Arial"/>
          <w:sz w:val="22"/>
          <w:szCs w:val="22"/>
        </w:rPr>
        <w:t xml:space="preserve"> Guide has been accepted by BIBA and appears on their Website following the launch of the initiative.</w:t>
      </w:r>
    </w:p>
    <w:p w:rsidR="002C26D0" w:rsidRPr="002C26D0" w:rsidRDefault="002C26D0" w:rsidP="002C26D0">
      <w:pPr>
        <w:ind w:left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  <w:tab w:val="left" w:pos="2268"/>
        </w:tabs>
        <w:suppressAutoHyphens/>
        <w:ind w:left="2880" w:hanging="2880"/>
        <w:rPr>
          <w:rFonts w:ascii="Eke" w:hAnsi="Eke" w:cs="Arial"/>
          <w:b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</w:rPr>
        <w:t>1988 - 1999</w:t>
      </w:r>
      <w:r w:rsidRPr="002C26D0">
        <w:rPr>
          <w:rFonts w:ascii="Eke" w:hAnsi="Eke" w:cs="Arial"/>
          <w:b/>
          <w:sz w:val="22"/>
          <w:szCs w:val="22"/>
        </w:rPr>
        <w:tab/>
      </w:r>
      <w:r w:rsidRPr="002C26D0">
        <w:rPr>
          <w:rFonts w:ascii="Eke" w:hAnsi="Eke" w:cs="Arial"/>
          <w:b/>
          <w:sz w:val="22"/>
          <w:szCs w:val="22"/>
        </w:rPr>
        <w:tab/>
        <w:t xml:space="preserve">SPECIAL RISK SERVICES Ltd. (SRS) (Now Aon Group Ltd.) 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>Status:</w:t>
      </w:r>
      <w:r w:rsidRPr="002C26D0">
        <w:rPr>
          <w:rFonts w:ascii="Eke" w:hAnsi="Eke" w:cs="Arial"/>
          <w:szCs w:val="22"/>
        </w:rPr>
        <w:tab/>
        <w:t>Associate Director</w:t>
      </w: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>Responsibilities:</w:t>
      </w:r>
      <w:r w:rsidRPr="002C26D0">
        <w:rPr>
          <w:rFonts w:ascii="Eke" w:hAnsi="Eke" w:cs="Arial"/>
          <w:szCs w:val="22"/>
        </w:rPr>
        <w:tab/>
        <w:t xml:space="preserve">Special Projects </w:t>
      </w: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>Achievements:</w:t>
      </w:r>
      <w:r w:rsidRPr="002C26D0">
        <w:rPr>
          <w:rFonts w:ascii="Eke" w:hAnsi="Eke" w:cs="Arial"/>
          <w:szCs w:val="22"/>
        </w:rPr>
        <w:tab/>
        <w:t>Reducing the potential for litigation against Aon by improving and sustaining client relationships</w:t>
      </w: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BodyTextIndent"/>
        <w:ind w:left="2268"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ab/>
        <w:t>Reporting on and drew up strategy for the SRS Board for penetrating Central Europe</w:t>
      </w:r>
    </w:p>
    <w:p w:rsidR="002C26D0" w:rsidRPr="002C26D0" w:rsidRDefault="002C26D0" w:rsidP="002C26D0">
      <w:pPr>
        <w:pStyle w:val="BodyTextIndent2"/>
        <w:tabs>
          <w:tab w:val="clear" w:pos="2160"/>
        </w:tabs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  <w:t>Dealing with Professional Liability, Crime, BBB, and D&amp;O claims</w:t>
      </w: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>Initiation and development of S.R.S.'s major product line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 xml:space="preserve">Initiating and running the Claims department of SRS and training up new staff 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 xml:space="preserve">Initiating and running the Policy Department of SRS 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pStyle w:val="Heading2"/>
        <w:keepLines w:val="0"/>
        <w:numPr>
          <w:ilvl w:val="0"/>
          <w:numId w:val="3"/>
        </w:numPr>
        <w:tabs>
          <w:tab w:val="clear" w:pos="2160"/>
          <w:tab w:val="left" w:pos="-720"/>
          <w:tab w:val="num" w:pos="2268"/>
        </w:tabs>
        <w:suppressAutoHyphens/>
        <w:spacing w:before="0"/>
        <w:rPr>
          <w:rFonts w:ascii="Eke" w:hAnsi="Eke" w:cs="Arial"/>
          <w:color w:val="auto"/>
          <w:sz w:val="22"/>
          <w:szCs w:val="22"/>
        </w:rPr>
      </w:pPr>
      <w:r w:rsidRPr="002C26D0">
        <w:rPr>
          <w:rFonts w:ascii="Eke" w:hAnsi="Eke" w:cs="Arial"/>
          <w:color w:val="auto"/>
          <w:sz w:val="22"/>
          <w:szCs w:val="22"/>
        </w:rPr>
        <w:t xml:space="preserve">J.H. MINET </w:t>
      </w:r>
    </w:p>
    <w:p w:rsidR="002C26D0" w:rsidRPr="002C26D0" w:rsidRDefault="002C26D0" w:rsidP="002C26D0">
      <w:pPr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Handling claims on their Lawyers and Accountants Lineslips</w:t>
      </w:r>
    </w:p>
    <w:p w:rsidR="002C26D0" w:rsidRPr="002C26D0" w:rsidRDefault="002C26D0" w:rsidP="002C26D0">
      <w:pPr>
        <w:tabs>
          <w:tab w:val="left" w:pos="-720"/>
        </w:tabs>
        <w:suppressAutoHyphens/>
        <w:ind w:left="-1134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ind w:left="2268" w:hanging="2268"/>
        <w:rPr>
          <w:rFonts w:ascii="Eke" w:hAnsi="Eke" w:cs="Arial"/>
          <w:b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</w:rPr>
        <w:t>1986 -1988</w:t>
      </w:r>
      <w:r w:rsidRPr="002C26D0">
        <w:rPr>
          <w:rFonts w:ascii="Eke" w:hAnsi="Eke" w:cs="Arial"/>
          <w:b/>
          <w:sz w:val="22"/>
          <w:szCs w:val="22"/>
        </w:rPr>
        <w:tab/>
        <w:t>SEDGWICK PROFESSIONAL INDEMNITY SERVICES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Status:</w:t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 xml:space="preserve">Lloyds Broker 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Placing Professional Indemnity Insurance in the London Market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>Achievements:</w:t>
      </w:r>
      <w:r w:rsidRPr="002C26D0">
        <w:rPr>
          <w:rFonts w:ascii="Eke" w:hAnsi="Eke" w:cs="Arial"/>
          <w:szCs w:val="22"/>
        </w:rPr>
        <w:tab/>
        <w:t>The last broker to place the Corporation of Lloyd’s own E&amp;O programme</w:t>
      </w: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Heading2"/>
        <w:ind w:left="2268" w:hanging="2268"/>
        <w:rPr>
          <w:rFonts w:ascii="Eke" w:hAnsi="Eke" w:cs="Arial"/>
          <w:color w:val="auto"/>
          <w:sz w:val="22"/>
          <w:szCs w:val="22"/>
        </w:rPr>
      </w:pPr>
      <w:r w:rsidRPr="002C26D0">
        <w:rPr>
          <w:rFonts w:ascii="Eke" w:hAnsi="Eke" w:cs="Arial"/>
          <w:color w:val="auto"/>
          <w:sz w:val="22"/>
          <w:szCs w:val="22"/>
        </w:rPr>
        <w:t>1981 – 1986</w:t>
      </w:r>
      <w:r w:rsidRPr="002C26D0">
        <w:rPr>
          <w:rFonts w:ascii="Eke" w:hAnsi="Eke" w:cs="Arial"/>
          <w:color w:val="auto"/>
          <w:sz w:val="22"/>
          <w:szCs w:val="22"/>
        </w:rPr>
        <w:tab/>
        <w:t>NORMAN FRIZZELL PROFESSIONAL INDEMNITY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>Responsibilities:</w:t>
      </w:r>
      <w:r w:rsidRPr="002C26D0">
        <w:rPr>
          <w:rFonts w:ascii="Eke" w:hAnsi="Eke" w:cs="Arial"/>
          <w:szCs w:val="22"/>
        </w:rPr>
        <w:tab/>
        <w:t xml:space="preserve">Client Management, Placing, Claims, Cover Notes, Policy Work, </w:t>
      </w: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  <w:t xml:space="preserve">Office Back-up for Placing and Claims </w:t>
      </w: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</w:p>
    <w:p w:rsidR="002C26D0" w:rsidRPr="002C26D0" w:rsidRDefault="002C26D0" w:rsidP="002C26D0">
      <w:pPr>
        <w:pStyle w:val="BodyTextIndent3"/>
        <w:ind w:hanging="2268"/>
        <w:rPr>
          <w:rFonts w:ascii="Eke" w:hAnsi="Eke" w:cs="Arial"/>
          <w:szCs w:val="22"/>
        </w:rPr>
      </w:pP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</w:r>
      <w:r w:rsidRPr="002C26D0">
        <w:rPr>
          <w:rFonts w:ascii="Eke" w:hAnsi="Eke" w:cs="Arial"/>
          <w:szCs w:val="22"/>
        </w:rPr>
        <w:tab/>
        <w:t>Involved, mainly but not exclusively, in the Professional Indemnity field</w:t>
      </w:r>
    </w:p>
    <w:p w:rsidR="002C26D0" w:rsidRPr="002C26D0" w:rsidRDefault="002C26D0" w:rsidP="002C26D0">
      <w:pPr>
        <w:pStyle w:val="BodyTextIndent3"/>
        <w:rPr>
          <w:rFonts w:ascii="Eke" w:hAnsi="Eke" w:cs="Arial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ind w:left="2268" w:hanging="2268"/>
        <w:rPr>
          <w:rFonts w:ascii="Eke" w:hAnsi="Eke" w:cs="Arial"/>
          <w:b/>
          <w:bCs/>
          <w:sz w:val="22"/>
          <w:szCs w:val="22"/>
        </w:rPr>
      </w:pPr>
      <w:r w:rsidRPr="002C26D0">
        <w:rPr>
          <w:rFonts w:ascii="Eke" w:hAnsi="Eke" w:cs="Arial"/>
          <w:b/>
          <w:bCs/>
          <w:sz w:val="22"/>
          <w:szCs w:val="22"/>
        </w:rPr>
        <w:t>1979 - 1980</w:t>
      </w:r>
      <w:r w:rsidRPr="002C26D0">
        <w:rPr>
          <w:rFonts w:ascii="Eke" w:hAnsi="Eke" w:cs="Arial"/>
          <w:b/>
          <w:bCs/>
          <w:sz w:val="22"/>
          <w:szCs w:val="22"/>
        </w:rPr>
        <w:tab/>
        <w:t xml:space="preserve">J.H.MINET 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Status:</w:t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>Lloyd’s Broker (Assistant to Director &amp; Senior Broker)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Assisting on the Minet Lawyers and Accountants Facility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pStyle w:val="Heading2"/>
        <w:ind w:left="2268" w:hanging="2268"/>
        <w:rPr>
          <w:rFonts w:ascii="Eke" w:hAnsi="Eke" w:cs="Arial"/>
          <w:color w:val="auto"/>
          <w:sz w:val="22"/>
          <w:szCs w:val="22"/>
        </w:rPr>
      </w:pPr>
      <w:r w:rsidRPr="002C26D0">
        <w:rPr>
          <w:rFonts w:ascii="Eke" w:hAnsi="Eke" w:cs="Arial"/>
          <w:color w:val="auto"/>
          <w:sz w:val="22"/>
          <w:szCs w:val="22"/>
        </w:rPr>
        <w:t>1976 – 1979</w:t>
      </w:r>
      <w:r w:rsidRPr="002C26D0">
        <w:rPr>
          <w:rFonts w:ascii="Eke" w:hAnsi="Eke" w:cs="Arial"/>
          <w:color w:val="auto"/>
          <w:sz w:val="22"/>
          <w:szCs w:val="22"/>
        </w:rPr>
        <w:tab/>
        <w:t>EDWARD LUMLEY AND SON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Status:</w:t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>Lloyd’s Broker</w:t>
      </w: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Placing Long Tail Australian Business in the London Market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ind w:left="2268" w:hanging="2268"/>
        <w:rPr>
          <w:rFonts w:ascii="Eke" w:hAnsi="Eke" w:cs="Arial"/>
          <w:b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</w:rPr>
        <w:t>1975 – 1976</w:t>
      </w:r>
      <w:r w:rsidRPr="002C26D0">
        <w:rPr>
          <w:rFonts w:ascii="Eke" w:hAnsi="Eke" w:cs="Arial"/>
          <w:b/>
          <w:sz w:val="22"/>
          <w:szCs w:val="22"/>
        </w:rPr>
        <w:tab/>
        <w:t>PCW UNDERWRITING AGENCIES LTD.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ind w:left="2268" w:hanging="2268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Responsibilities:</w:t>
      </w:r>
      <w:r w:rsidRPr="002C26D0">
        <w:rPr>
          <w:rFonts w:ascii="Eke" w:hAnsi="Eke" w:cs="Arial"/>
          <w:sz w:val="22"/>
          <w:szCs w:val="22"/>
        </w:rPr>
        <w:tab/>
        <w:t>Entering Incidental Non-Marine risks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  <w:u w:val="single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QUALIFICATIONS</w:t>
      </w:r>
    </w:p>
    <w:p w:rsidR="002C26D0" w:rsidRPr="002C26D0" w:rsidRDefault="002C26D0" w:rsidP="002C26D0">
      <w:pPr>
        <w:tabs>
          <w:tab w:val="left" w:pos="-720"/>
        </w:tabs>
        <w:suppressAutoHyphens/>
        <w:jc w:val="center"/>
        <w:rPr>
          <w:rFonts w:ascii="Eke" w:hAnsi="Eke" w:cs="Arial"/>
          <w:b/>
          <w:sz w:val="22"/>
          <w:szCs w:val="22"/>
          <w:u w:val="single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7 O Levels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Lloyd’s Market Certificate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Dip CII</w:t>
      </w:r>
    </w:p>
    <w:p w:rsidR="002C26D0" w:rsidRPr="002C26D0" w:rsidRDefault="002C26D0" w:rsidP="002C26D0">
      <w:pPr>
        <w:tabs>
          <w:tab w:val="left" w:pos="-720"/>
          <w:tab w:val="left" w:pos="142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b/>
          <w:sz w:val="22"/>
          <w:szCs w:val="22"/>
          <w:u w:val="single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International Chambers of Commerce Exams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Foreign Language in Commerce: Advanced French (with Credit) (fluent spoken)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Foreign Language in Commerce: Threshold German (basic spoken)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center" w:pos="4513"/>
        </w:tabs>
        <w:suppressAutoHyphens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b/>
          <w:sz w:val="22"/>
          <w:szCs w:val="22"/>
          <w:u w:val="single"/>
        </w:rPr>
        <w:t>PERSONAL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1440"/>
          <w:tab w:val="left" w:pos="2268"/>
          <w:tab w:val="left" w:pos="2552"/>
        </w:tabs>
        <w:suppressAutoHyphens/>
        <w:ind w:left="2160" w:hanging="2160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Date of Birth:</w:t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>8 December 1954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0"/>
          <w:tab w:val="left" w:pos="720"/>
          <w:tab w:val="left" w:pos="2268"/>
          <w:tab w:val="left" w:pos="2552"/>
        </w:tabs>
        <w:suppressAutoHyphens/>
        <w:ind w:left="1440" w:hanging="1440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Marital Status:</w:t>
      </w:r>
      <w:r w:rsidRPr="002C26D0">
        <w:rPr>
          <w:rFonts w:ascii="Eke" w:hAnsi="Eke" w:cs="Arial"/>
          <w:sz w:val="22"/>
          <w:szCs w:val="22"/>
        </w:rPr>
        <w:tab/>
      </w:r>
      <w:r w:rsidRPr="002C26D0">
        <w:rPr>
          <w:rFonts w:ascii="Eke" w:hAnsi="Eke" w:cs="Arial"/>
          <w:sz w:val="22"/>
          <w:szCs w:val="22"/>
        </w:rPr>
        <w:tab/>
        <w:t>Married with three children</w:t>
      </w:r>
    </w:p>
    <w:p w:rsidR="002C26D0" w:rsidRPr="002C26D0" w:rsidRDefault="002C26D0" w:rsidP="002C26D0">
      <w:pPr>
        <w:tabs>
          <w:tab w:val="left" w:pos="-720"/>
        </w:tabs>
        <w:suppressAutoHyphens/>
        <w:rPr>
          <w:rFonts w:ascii="Eke" w:hAnsi="Eke" w:cs="Arial"/>
          <w:sz w:val="22"/>
          <w:szCs w:val="22"/>
        </w:rPr>
      </w:pPr>
    </w:p>
    <w:p w:rsidR="002C26D0" w:rsidRPr="002C26D0" w:rsidRDefault="002C26D0" w:rsidP="002C26D0">
      <w:pPr>
        <w:tabs>
          <w:tab w:val="left" w:pos="-720"/>
          <w:tab w:val="left" w:pos="2268"/>
        </w:tabs>
        <w:suppressAutoHyphens/>
        <w:ind w:left="2552" w:hanging="2552"/>
        <w:rPr>
          <w:rFonts w:ascii="Eke" w:hAnsi="Eke" w:cs="Arial"/>
          <w:sz w:val="22"/>
          <w:szCs w:val="22"/>
        </w:rPr>
      </w:pPr>
      <w:r w:rsidRPr="002C26D0">
        <w:rPr>
          <w:rFonts w:ascii="Eke" w:hAnsi="Eke" w:cs="Arial"/>
          <w:sz w:val="22"/>
          <w:szCs w:val="22"/>
        </w:rPr>
        <w:t>Interests:</w:t>
      </w:r>
      <w:r w:rsidRPr="002C26D0">
        <w:rPr>
          <w:rFonts w:ascii="Eke" w:hAnsi="Eke" w:cs="Arial"/>
          <w:sz w:val="22"/>
          <w:szCs w:val="22"/>
        </w:rPr>
        <w:tab/>
        <w:t>Military History, Classical Music, Languages, and Painting Model Figures</w:t>
      </w:r>
    </w:p>
    <w:p w:rsidR="002C26D0" w:rsidRPr="002C26D0" w:rsidRDefault="002C26D0">
      <w:pPr>
        <w:rPr>
          <w:rFonts w:ascii="Eke" w:hAnsi="Eke"/>
          <w:sz w:val="22"/>
          <w:szCs w:val="22"/>
        </w:rPr>
      </w:pPr>
    </w:p>
    <w:sectPr w:rsidR="002C26D0" w:rsidRPr="002C26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CB" w:rsidRDefault="007C65CB" w:rsidP="002C26D0">
      <w:r>
        <w:separator/>
      </w:r>
    </w:p>
  </w:endnote>
  <w:endnote w:type="continuationSeparator" w:id="0">
    <w:p w:rsidR="007C65CB" w:rsidRDefault="007C65CB" w:rsidP="002C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59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6D0" w:rsidRDefault="002C2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26D0" w:rsidRDefault="008B6D0F">
    <w:pPr>
      <w:pStyle w:val="Footer"/>
    </w:pPr>
    <w:r>
      <w:t>CV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CB" w:rsidRDefault="007C65CB" w:rsidP="002C26D0">
      <w:r>
        <w:separator/>
      </w:r>
    </w:p>
  </w:footnote>
  <w:footnote w:type="continuationSeparator" w:id="0">
    <w:p w:rsidR="007C65CB" w:rsidRDefault="007C65CB" w:rsidP="002C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7CE2"/>
    <w:multiLevelType w:val="hybridMultilevel"/>
    <w:tmpl w:val="62D0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04C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4177A6"/>
    <w:multiLevelType w:val="singleLevel"/>
    <w:tmpl w:val="E794D1C2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D0"/>
    <w:rsid w:val="0016504F"/>
    <w:rsid w:val="002C26D0"/>
    <w:rsid w:val="007A64BB"/>
    <w:rsid w:val="007C65CB"/>
    <w:rsid w:val="008B6D0F"/>
    <w:rsid w:val="00B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EE70-DDBE-42F4-90F4-DA486865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ke" w:eastAsiaTheme="minorHAnsi" w:hAnsi="Ek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D0"/>
    <w:rPr>
      <w:rFonts w:ascii="CG Times" w:eastAsia="Times New Roman" w:hAnsi="CG 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rsid w:val="002C26D0"/>
    <w:pPr>
      <w:tabs>
        <w:tab w:val="left" w:pos="-720"/>
      </w:tabs>
      <w:suppressAutoHyphens/>
      <w:ind w:left="2160" w:hanging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26D0"/>
    <w:rPr>
      <w:rFonts w:ascii="CG Times" w:eastAsia="Times New Roman" w:hAnsi="CG Times" w:cs="Times New Roman"/>
      <w:sz w:val="2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2C26D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27" w:hanging="2127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2C26D0"/>
    <w:rPr>
      <w:rFonts w:ascii="CG Times" w:eastAsia="Times New Roman" w:hAnsi="CG Times" w:cs="Times New Roman"/>
      <w:sz w:val="22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2C26D0"/>
    <w:pPr>
      <w:tabs>
        <w:tab w:val="left" w:pos="-720"/>
        <w:tab w:val="left" w:pos="0"/>
        <w:tab w:val="left" w:pos="720"/>
        <w:tab w:val="left" w:pos="1440"/>
      </w:tabs>
      <w:suppressAutoHyphens/>
      <w:ind w:left="2268" w:hanging="216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2C26D0"/>
    <w:rPr>
      <w:rFonts w:ascii="CG Times" w:eastAsia="Times New Roman" w:hAnsi="CG Times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2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6D0"/>
    <w:rPr>
      <w:rFonts w:ascii="CG Times" w:eastAsia="Times New Roman" w:hAnsi="CG Times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6D0"/>
    <w:rPr>
      <w:rFonts w:ascii="CG Times" w:eastAsia="Times New Roman" w:hAnsi="CG Time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4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Jaya Chakrabarti</cp:lastModifiedBy>
  <cp:revision>2</cp:revision>
  <dcterms:created xsi:type="dcterms:W3CDTF">2015-02-23T12:37:00Z</dcterms:created>
  <dcterms:modified xsi:type="dcterms:W3CDTF">2015-02-23T12:37:00Z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